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rFonts w:ascii="Arial" w:cs="Arial" w:eastAsia="Arial" w:hAnsi="Arial"/>
          <w:sz w:val="32"/>
          <w:szCs w:val="32"/>
          <w:u w:val="single"/>
          <w:vertAlign w:val="baseline"/>
          <w:rtl w:val="0"/>
        </w:rPr>
        <w:t xml:space="preserve"> </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Fonts w:ascii="Arial" w:cs="Arial" w:eastAsia="Arial" w:hAnsi="Arial"/>
          <w:b w:val="1"/>
          <w:sz w:val="32"/>
          <w:szCs w:val="32"/>
          <w:vertAlign w:val="baseline"/>
          <w:rtl w:val="0"/>
        </w:rPr>
        <w:t xml:space="preserve">Hire Agreement </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West Wratting Village Hall, 79 High Street, West Wratting Cambridge CB21 5LU </w:t>
      </w:r>
    </w:p>
    <w:p w:rsidR="00000000" w:rsidDel="00000000" w:rsidP="00000000" w:rsidRDefault="00000000" w:rsidRPr="00000000" w14:paraId="00000005">
      <w:pPr>
        <w:tabs>
          <w:tab w:val="center" w:leader="none" w:pos="4153"/>
          <w:tab w:val="right" w:leader="none" w:pos="8306"/>
        </w:tabs>
        <w:jc w:val="left"/>
        <w:rPr>
          <w:rFonts w:ascii="Arial" w:cs="Arial" w:eastAsia="Arial" w:hAnsi="Arial"/>
          <w:i w:val="1"/>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jc w:val="center"/>
        <w:rPr/>
      </w:pPr>
      <w:r w:rsidDel="00000000" w:rsidR="00000000" w:rsidRPr="00000000">
        <w:rPr>
          <w:rFonts w:ascii="Arial" w:cs="Arial" w:eastAsia="Arial" w:hAnsi="Arial"/>
          <w:i w:val="1"/>
          <w:rtl w:val="0"/>
        </w:rPr>
        <w:t xml:space="preserve">Cheques to be made payable to West Wratting Village Hall.</w:t>
      </w:r>
      <w:r w:rsidDel="00000000" w:rsidR="00000000" w:rsidRPr="00000000">
        <w:rPr>
          <w:rtl w:val="0"/>
        </w:rPr>
      </w:r>
    </w:p>
    <w:p w:rsidR="00000000" w:rsidDel="00000000" w:rsidP="00000000" w:rsidRDefault="00000000" w:rsidRPr="00000000" w14:paraId="00000007">
      <w:pPr>
        <w:tabs>
          <w:tab w:val="center" w:leader="none" w:pos="4153"/>
          <w:tab w:val="right" w:leader="none" w:pos="8306"/>
        </w:tabs>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8">
      <w:pPr>
        <w:tabs>
          <w:tab w:val="center" w:leader="none" w:pos="4153"/>
          <w:tab w:val="right" w:leader="none" w:pos="8306"/>
        </w:tabs>
        <w:jc w:val="center"/>
        <w:rPr/>
      </w:pPr>
      <w:r w:rsidDel="00000000" w:rsidR="00000000" w:rsidRPr="00000000">
        <w:rPr>
          <w:rFonts w:ascii="Arial" w:cs="Arial" w:eastAsia="Arial" w:hAnsi="Arial"/>
          <w:u w:val="single"/>
          <w:rtl w:val="0"/>
        </w:rPr>
        <w:t xml:space="preserve">Account</w:t>
      </w:r>
      <w:r w:rsidDel="00000000" w:rsidR="00000000" w:rsidRPr="00000000">
        <w:rPr>
          <w:rFonts w:ascii="Arial" w:cs="Arial" w:eastAsia="Arial" w:hAnsi="Arial"/>
          <w:rtl w:val="0"/>
        </w:rPr>
        <w:t xml:space="preserve"> : West Wratting Village Hall Committee          Reg Charity No273557</w:t>
      </w:r>
      <w:r w:rsidDel="00000000" w:rsidR="00000000" w:rsidRPr="00000000">
        <w:rPr>
          <w:rtl w:val="0"/>
        </w:rPr>
      </w:r>
    </w:p>
    <w:p w:rsidR="00000000" w:rsidDel="00000000" w:rsidP="00000000" w:rsidRDefault="00000000" w:rsidRPr="00000000" w14:paraId="00000009">
      <w:pPr>
        <w:tabs>
          <w:tab w:val="center" w:leader="none" w:pos="4153"/>
          <w:tab w:val="right" w:leader="none" w:pos="8306"/>
        </w:tabs>
        <w:jc w:val="center"/>
        <w:rPr/>
      </w:pPr>
      <w:r w:rsidDel="00000000" w:rsidR="00000000" w:rsidRPr="00000000">
        <w:rPr>
          <w:rFonts w:ascii="Arial" w:cs="Arial" w:eastAsia="Arial" w:hAnsi="Arial"/>
          <w:rtl w:val="0"/>
        </w:rPr>
        <w:t xml:space="preserve">Sort Code 60-83-01  : a/c No 20515614</w:t>
      </w:r>
      <w:r w:rsidDel="00000000" w:rsidR="00000000" w:rsidRPr="00000000">
        <w:rPr>
          <w:rtl w:val="0"/>
        </w:rPr>
      </w:r>
    </w:p>
    <w:p w:rsidR="00000000" w:rsidDel="00000000" w:rsidP="00000000" w:rsidRDefault="00000000" w:rsidRPr="00000000" w14:paraId="0000000A">
      <w:pPr>
        <w:rPr>
          <w:rFonts w:ascii="Arial" w:cs="Arial" w:eastAsia="Arial" w:hAnsi="Arial"/>
          <w:vertAlign w:val="baseline"/>
        </w:rPr>
      </w:pPr>
      <w:r w:rsidDel="00000000" w:rsidR="00000000" w:rsidRPr="00000000">
        <w:rPr>
          <w:rtl w:val="0"/>
        </w:rPr>
      </w:r>
    </w:p>
    <w:tbl>
      <w:tblPr>
        <w:tblStyle w:val="Table1"/>
        <w:tblW w:w="10206.0" w:type="dxa"/>
        <w:jc w:val="left"/>
        <w:tblInd w:w="-108.0" w:type="dxa"/>
        <w:tblLayout w:type="fixed"/>
        <w:tblLook w:val="0000"/>
      </w:tblPr>
      <w:tblGrid>
        <w:gridCol w:w="3119"/>
        <w:gridCol w:w="1417"/>
        <w:gridCol w:w="2970"/>
        <w:gridCol w:w="574"/>
        <w:gridCol w:w="2126"/>
        <w:tblGridChange w:id="0">
          <w:tblGrid>
            <w:gridCol w:w="3119"/>
            <w:gridCol w:w="1417"/>
            <w:gridCol w:w="2970"/>
            <w:gridCol w:w="574"/>
            <w:gridCol w:w="2126"/>
          </w:tblGrid>
        </w:tblGridChange>
      </w:tblGrid>
      <w:tr>
        <w:trPr>
          <w:cantSplit w:val="0"/>
          <w:trHeight w:val="432"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B">
            <w:pPr>
              <w:pStyle w:val="Heading1"/>
              <w:numPr>
                <w:ilvl w:val="0"/>
                <w:numId w:val="5"/>
              </w:numPr>
              <w:ind w:left="0" w:firstLine="0"/>
              <w:rPr>
                <w:vertAlign w:val="baseline"/>
              </w:rPr>
            </w:pPr>
            <w:r w:rsidDel="00000000" w:rsidR="00000000" w:rsidRPr="00000000">
              <w:rPr>
                <w:rFonts w:ascii="Arial" w:cs="Arial" w:eastAsia="Arial" w:hAnsi="Arial"/>
                <w:b w:val="0"/>
                <w:vertAlign w:val="baseline"/>
                <w:rtl w:val="0"/>
              </w:rPr>
              <w:t xml:space="preserve">Hirer name and address:</w:t>
            </w:r>
            <w:r w:rsidDel="00000000" w:rsidR="00000000" w:rsidRPr="00000000">
              <w:rPr>
                <w:rtl w:val="0"/>
              </w:rPr>
            </w:r>
          </w:p>
          <w:p w:rsidR="00000000" w:rsidDel="00000000" w:rsidP="00000000" w:rsidRDefault="00000000" w:rsidRPr="00000000" w14:paraId="0000000C">
            <w:pPr>
              <w:rPr>
                <w:rFonts w:ascii="Arial" w:cs="Arial" w:eastAsia="Arial" w:hAnsi="Arial"/>
                <w:b w:val="1"/>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E">
            <w:pPr>
              <w:rPr>
                <w:vertAlign w:val="baseline"/>
              </w:rPr>
            </w:pPr>
            <w:r w:rsidDel="00000000" w:rsidR="00000000" w:rsidRPr="00000000">
              <w:rPr>
                <w:rFonts w:ascii="Arial" w:cs="Arial" w:eastAsia="Arial" w:hAnsi="Arial"/>
                <w:vertAlign w:val="baseline"/>
                <w:rtl w:val="0"/>
              </w:rPr>
              <w:t xml:space="preserve">Telephone number:  </w:t>
            </w:r>
            <w:r w:rsidDel="00000000" w:rsidR="00000000" w:rsidRPr="00000000">
              <w:rPr>
                <w:rtl w:val="0"/>
              </w:rPr>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tc>
      </w:tr>
      <w:tr>
        <w:trPr>
          <w:cantSplit w:val="0"/>
          <w:trHeight w:val="43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4">
            <w:pPr>
              <w:rPr>
                <w:vertAlign w:val="baseline"/>
              </w:rPr>
            </w:pPr>
            <w:r w:rsidDel="00000000" w:rsidR="00000000" w:rsidRPr="00000000">
              <w:rPr>
                <w:rFonts w:ascii="Arial" w:cs="Arial" w:eastAsia="Arial" w:hAnsi="Arial"/>
                <w:vertAlign w:val="baseline"/>
                <w:rtl w:val="0"/>
              </w:rPr>
              <w:t xml:space="preserve">E-mail:</w:t>
            </w:r>
            <w:r w:rsidDel="00000000" w:rsidR="00000000" w:rsidRPr="00000000">
              <w:rPr>
                <w:rtl w:val="0"/>
              </w:rPr>
            </w:r>
          </w:p>
        </w:tc>
      </w:tr>
      <w:tr>
        <w:trPr>
          <w:cantSplit w:val="1"/>
          <w:trHeight w:val="76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9">
            <w:pPr>
              <w:pStyle w:val="Heading1"/>
              <w:numPr>
                <w:ilvl w:val="0"/>
                <w:numId w:val="5"/>
              </w:numPr>
              <w:ind w:left="0" w:firstLine="0"/>
              <w:rPr>
                <w:vertAlign w:val="baseline"/>
              </w:rPr>
            </w:pPr>
            <w:r w:rsidDel="00000000" w:rsidR="00000000" w:rsidRPr="00000000">
              <w:rPr>
                <w:rFonts w:ascii="Arial" w:cs="Arial" w:eastAsia="Arial" w:hAnsi="Arial"/>
                <w:b w:val="0"/>
                <w:vertAlign w:val="baseline"/>
                <w:rtl w:val="0"/>
              </w:rPr>
              <w:t xml:space="preserve">Date(s)</w:t>
            </w:r>
            <w:r w:rsidDel="00000000" w:rsidR="00000000" w:rsidRPr="00000000">
              <w:rPr>
                <w:rtl w:val="0"/>
              </w:rPr>
            </w:r>
          </w:p>
        </w:tc>
      </w:tr>
      <w:tr>
        <w:trPr>
          <w:cantSplit w:val="1"/>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C">
            <w:pPr>
              <w:pStyle w:val="Heading1"/>
              <w:numPr>
                <w:ilvl w:val="0"/>
                <w:numId w:val="5"/>
              </w:numPr>
              <w:shd w:fill="ffffff" w:val="clear"/>
              <w:ind w:left="0" w:firstLine="0"/>
              <w:rPr>
                <w:vertAlign w:val="baseline"/>
              </w:rPr>
            </w:pPr>
            <w:r w:rsidDel="00000000" w:rsidR="00000000" w:rsidRPr="00000000">
              <w:rPr>
                <w:rFonts w:ascii="Arial" w:cs="Arial" w:eastAsia="Arial" w:hAnsi="Arial"/>
                <w:b w:val="0"/>
                <w:vertAlign w:val="baseline"/>
                <w:rtl w:val="0"/>
              </w:rPr>
              <w:t xml:space="preserve">Type of function</w:t>
            </w:r>
            <w:r w:rsidDel="00000000" w:rsidR="00000000" w:rsidRPr="00000000">
              <w:rPr>
                <w:rtl w:val="0"/>
              </w:rPr>
            </w:r>
          </w:p>
          <w:p w:rsidR="00000000" w:rsidDel="00000000" w:rsidP="00000000" w:rsidRDefault="00000000" w:rsidRPr="00000000" w14:paraId="0000001D">
            <w:pPr>
              <w:pStyle w:val="Heading1"/>
              <w:numPr>
                <w:ilvl w:val="0"/>
                <w:numId w:val="5"/>
              </w:numPr>
              <w:ind w:left="0" w:firstLine="0"/>
              <w:rPr>
                <w:rFonts w:ascii="Arial" w:cs="Arial" w:eastAsia="Arial" w:hAnsi="Arial"/>
                <w:b w:val="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F">
            <w:pPr>
              <w:rPr>
                <w:vertAlign w:val="baseline"/>
              </w:rPr>
            </w:pPr>
            <w:r w:rsidDel="00000000" w:rsidR="00000000" w:rsidRPr="00000000">
              <w:rPr>
                <w:rFonts w:ascii="Arial" w:cs="Arial" w:eastAsia="Arial" w:hAnsi="Arial"/>
                <w:vertAlign w:val="baseline"/>
                <w:rtl w:val="0"/>
              </w:rPr>
              <w:t xml:space="preserve">Day of week</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3">
            <w:pPr>
              <w:pStyle w:val="Heading1"/>
              <w:numPr>
                <w:ilvl w:val="0"/>
                <w:numId w:val="5"/>
              </w:numPr>
              <w:ind w:left="0" w:firstLine="0"/>
              <w:rPr>
                <w:vertAlign w:val="baseline"/>
              </w:rPr>
            </w:pPr>
            <w:r w:rsidDel="00000000" w:rsidR="00000000" w:rsidRPr="00000000">
              <w:rPr>
                <w:rFonts w:ascii="Arial" w:cs="Arial" w:eastAsia="Arial" w:hAnsi="Arial"/>
                <w:b w:val="0"/>
                <w:vertAlign w:val="baseline"/>
                <w:rtl w:val="0"/>
              </w:rPr>
              <w:t xml:space="preserve">Start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4">
            <w:pPr>
              <w:pStyle w:val="Heading1"/>
              <w:numPr>
                <w:ilvl w:val="0"/>
                <w:numId w:val="5"/>
              </w:numPr>
              <w:ind w:left="0" w:firstLine="0"/>
              <w:rPr>
                <w:rFonts w:ascii="Arial" w:cs="Arial" w:eastAsia="Arial" w:hAnsi="Arial"/>
                <w:b w:val="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5">
            <w:pPr>
              <w:rPr>
                <w:vertAlign w:val="baseline"/>
              </w:rPr>
            </w:pPr>
            <w:r w:rsidDel="00000000" w:rsidR="00000000" w:rsidRPr="00000000">
              <w:rPr>
                <w:rFonts w:ascii="Arial" w:cs="Arial" w:eastAsia="Arial" w:hAnsi="Arial"/>
                <w:vertAlign w:val="baseline"/>
                <w:rtl w:val="0"/>
              </w:rPr>
              <w:t xml:space="preserve">Time needed to set up?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8">
            <w:pPr>
              <w:rPr>
                <w:vertAlign w:val="baseline"/>
              </w:rPr>
            </w:pPr>
            <w:r w:rsidDel="00000000" w:rsidR="00000000" w:rsidRPr="00000000">
              <w:rPr>
                <w:rFonts w:ascii="Arial" w:cs="Arial" w:eastAsia="Arial" w:hAnsi="Arial"/>
                <w:vertAlign w:val="baseline"/>
                <w:rtl w:val="0"/>
              </w:rPr>
              <w:t xml:space="preserve">Finish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A">
            <w:pPr>
              <w:rPr>
                <w:vertAlign w:val="baseline"/>
              </w:rPr>
            </w:pPr>
            <w:r w:rsidDel="00000000" w:rsidR="00000000" w:rsidRPr="00000000">
              <w:rPr>
                <w:rFonts w:ascii="Arial" w:cs="Arial" w:eastAsia="Arial" w:hAnsi="Arial"/>
                <w:vertAlign w:val="baseline"/>
                <w:rtl w:val="0"/>
              </w:rPr>
              <w:t xml:space="preserve">Time needed to clear up?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D">
            <w:pPr>
              <w:pStyle w:val="Heading1"/>
              <w:numPr>
                <w:ilvl w:val="0"/>
                <w:numId w:val="5"/>
              </w:numPr>
              <w:ind w:left="0" w:firstLine="0"/>
              <w:rPr>
                <w:vertAlign w:val="baseline"/>
              </w:rPr>
            </w:pPr>
            <w:r w:rsidDel="00000000" w:rsidR="00000000" w:rsidRPr="00000000">
              <w:rPr>
                <w:rFonts w:ascii="Arial" w:cs="Arial" w:eastAsia="Arial" w:hAnsi="Arial"/>
                <w:b w:val="0"/>
                <w:vertAlign w:val="baseline"/>
                <w:rtl w:val="0"/>
              </w:rPr>
              <w:t xml:space="preserve">Approximate no. of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E">
            <w:pPr>
              <w:rPr>
                <w:rFonts w:ascii="Arial" w:cs="Arial" w:eastAsia="Arial" w:hAnsi="Arial"/>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F">
            <w:pPr>
              <w:rPr>
                <w:vertAlign w:val="baseline"/>
              </w:rPr>
            </w:pPr>
            <w:r w:rsidDel="00000000" w:rsidR="00000000" w:rsidRPr="00000000">
              <w:rPr>
                <w:rFonts w:ascii="Arial" w:cs="Arial" w:eastAsia="Arial" w:hAnsi="Arial"/>
                <w:vertAlign w:val="baseline"/>
                <w:rtl w:val="0"/>
              </w:rPr>
              <w:t xml:space="preserve">Hot water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1">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2">
            <w:pPr>
              <w:rPr>
                <w:vertAlign w:val="baseline"/>
              </w:rPr>
            </w:pPr>
            <w:r w:rsidDel="00000000" w:rsidR="00000000" w:rsidRPr="00000000">
              <w:rPr>
                <w:rFonts w:ascii="Arial" w:cs="Arial" w:eastAsia="Arial" w:hAnsi="Arial"/>
                <w:vertAlign w:val="baseline"/>
                <w:rtl w:val="0"/>
              </w:rPr>
              <w:t xml:space="preserve">Hall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4">
            <w:pPr>
              <w:rPr>
                <w:vertAlign w:val="baseline"/>
              </w:rPr>
            </w:pPr>
            <w:r w:rsidDel="00000000" w:rsidR="00000000" w:rsidRPr="00000000">
              <w:rPr>
                <w:rFonts w:ascii="Arial" w:cs="Arial" w:eastAsia="Arial" w:hAnsi="Arial"/>
                <w:vertAlign w:val="baseline"/>
                <w:rtl w:val="0"/>
              </w:rPr>
              <w:t xml:space="preserve">Heating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7">
            <w:pPr>
              <w:rPr>
                <w:vertAlign w:val="baseline"/>
              </w:rPr>
            </w:pPr>
            <w:r w:rsidDel="00000000" w:rsidR="00000000" w:rsidRPr="00000000">
              <w:rPr>
                <w:rFonts w:ascii="Arial" w:cs="Arial" w:eastAsia="Arial" w:hAnsi="Arial"/>
                <w:vertAlign w:val="baseline"/>
                <w:rtl w:val="0"/>
              </w:rPr>
              <w:t xml:space="preserve">Committee room/Bar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9">
            <w:pPr>
              <w:rPr>
                <w:vertAlign w:val="baseline"/>
              </w:rPr>
            </w:pPr>
            <w:r w:rsidDel="00000000" w:rsidR="00000000" w:rsidRPr="00000000">
              <w:rPr>
                <w:rFonts w:ascii="Arial" w:cs="Arial" w:eastAsia="Arial" w:hAnsi="Arial"/>
                <w:vertAlign w:val="baseline"/>
                <w:rtl w:val="0"/>
              </w:rPr>
              <w:t xml:space="preserve">Tables (type and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rPr>
                <w:vertAlign w:val="baseline"/>
              </w:rPr>
            </w:pPr>
            <w:r w:rsidDel="00000000" w:rsidR="00000000" w:rsidRPr="00000000">
              <w:rPr>
                <w:rFonts w:ascii="Arial" w:cs="Arial" w:eastAsia="Arial" w:hAnsi="Arial"/>
                <w:vertAlign w:val="baseline"/>
                <w:rtl w:val="0"/>
              </w:rPr>
              <w:t xml:space="preserve">Kitchen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rPr>
                <w:vertAlign w:val="baseline"/>
              </w:rPr>
            </w:pPr>
            <w:r w:rsidDel="00000000" w:rsidR="00000000" w:rsidRPr="00000000">
              <w:rPr>
                <w:rFonts w:ascii="Arial" w:cs="Arial" w:eastAsia="Arial" w:hAnsi="Arial"/>
                <w:vertAlign w:val="baseline"/>
                <w:rtl w:val="0"/>
              </w:rPr>
              <w:t xml:space="preserve">Chairs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rPr>
                <w:vertAlign w:val="baseline"/>
              </w:rPr>
            </w:pPr>
            <w:r w:rsidDel="00000000" w:rsidR="00000000" w:rsidRPr="00000000">
              <w:rPr>
                <w:rFonts w:ascii="Arial" w:cs="Arial" w:eastAsia="Arial" w:hAnsi="Arial"/>
                <w:vertAlign w:val="baseline"/>
                <w:rtl w:val="0"/>
              </w:rPr>
              <w:t xml:space="preserve">Stage facilities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rPr>
                <w:vertAlign w:val="baseline"/>
              </w:rPr>
            </w:pPr>
            <w:r w:rsidDel="00000000" w:rsidR="00000000" w:rsidRPr="00000000">
              <w:rPr>
                <w:rFonts w:ascii="Arial" w:cs="Arial" w:eastAsia="Arial" w:hAnsi="Arial"/>
                <w:vertAlign w:val="baseline"/>
                <w:rtl w:val="0"/>
              </w:rPr>
              <w:t xml:space="preserve">Crockery (type &amp;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rPr>
                <w:vertAlign w:val="baseline"/>
              </w:rPr>
            </w:pPr>
            <w:r w:rsidDel="00000000" w:rsidR="00000000" w:rsidRPr="00000000">
              <w:rPr>
                <w:rFonts w:ascii="Arial" w:cs="Arial" w:eastAsia="Arial" w:hAnsi="Arial"/>
                <w:vertAlign w:val="baseline"/>
                <w:rtl w:val="0"/>
              </w:rPr>
              <w:t xml:space="preserve">Sound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rPr>
                <w:vertAlign w:val="baseline"/>
              </w:rPr>
            </w:pPr>
            <w:r w:rsidDel="00000000" w:rsidR="00000000" w:rsidRPr="00000000">
              <w:rPr>
                <w:rFonts w:ascii="Arial" w:cs="Arial" w:eastAsia="Arial" w:hAnsi="Arial"/>
                <w:vertAlign w:val="baseline"/>
                <w:rtl w:val="0"/>
              </w:rPr>
              <w:t xml:space="preserve">Silverware  (type &amp;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rPr>
                <w:vertAlign w:val="baseline"/>
              </w:rPr>
            </w:pPr>
            <w:r w:rsidDel="00000000" w:rsidR="00000000" w:rsidRPr="00000000">
              <w:rPr>
                <w:rFonts w:ascii="Arial" w:cs="Arial" w:eastAsia="Arial" w:hAnsi="Arial"/>
                <w:vertAlign w:val="baseline"/>
                <w:rtl w:val="0"/>
              </w:rPr>
              <w:t xml:space="preserve">Audio Loop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rPr>
                <w:vertAlign w:val="baseline"/>
              </w:rPr>
            </w:pPr>
            <w:r w:rsidDel="00000000" w:rsidR="00000000" w:rsidRPr="00000000">
              <w:rPr>
                <w:rFonts w:ascii="Arial" w:cs="Arial" w:eastAsia="Arial" w:hAnsi="Arial"/>
                <w:vertAlign w:val="baseline"/>
                <w:rtl w:val="0"/>
              </w:rPr>
              <w:t xml:space="preserve">Urn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0">
            <w:pPr>
              <w:rPr>
                <w:vertAlign w:val="baseline"/>
              </w:rPr>
            </w:pPr>
            <w:r w:rsidDel="00000000" w:rsidR="00000000" w:rsidRPr="00000000">
              <w:rPr>
                <w:rFonts w:ascii="Arial" w:cs="Arial" w:eastAsia="Arial" w:hAnsi="Arial"/>
                <w:vertAlign w:val="baseline"/>
                <w:rtl w:val="0"/>
              </w:rPr>
              <w:t xml:space="preserve">Other (please 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rPr>
                <w:vertAlign w:val="baseline"/>
              </w:rPr>
            </w:pPr>
            <w:r w:rsidDel="00000000" w:rsidR="00000000" w:rsidRPr="00000000">
              <w:rPr>
                <w:rFonts w:ascii="Arial" w:cs="Arial" w:eastAsia="Arial" w:hAnsi="Arial"/>
                <w:vertAlign w:val="baseline"/>
                <w:rtl w:val="0"/>
              </w:rPr>
              <w:t xml:space="preserve">Electric Kettle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tbl>
      <w:tblPr>
        <w:tblStyle w:val="Table2"/>
        <w:tblW w:w="10206.0" w:type="dxa"/>
        <w:jc w:val="left"/>
        <w:tblInd w:w="-108.0" w:type="dxa"/>
        <w:tblLayout w:type="fixed"/>
        <w:tblLook w:val="0000"/>
      </w:tblPr>
      <w:tblGrid>
        <w:gridCol w:w="6237"/>
        <w:gridCol w:w="1843"/>
        <w:gridCol w:w="2126"/>
        <w:tblGridChange w:id="0">
          <w:tblGrid>
            <w:gridCol w:w="6237"/>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alcoholic drink be offered for sale?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Temporary Event Notice seen, if required.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overleaf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05C">
      <w:pPr>
        <w:rPr>
          <w:vertAlign w:val="baseline"/>
        </w:rPr>
      </w:pPr>
      <w:r w:rsidDel="00000000" w:rsidR="00000000" w:rsidRPr="00000000">
        <w:rPr>
          <w:rtl w:val="0"/>
        </w:rPr>
      </w:r>
    </w:p>
    <w:tbl>
      <w:tblPr>
        <w:tblStyle w:val="Table3"/>
        <w:tblW w:w="10206.0" w:type="dxa"/>
        <w:jc w:val="left"/>
        <w:tblInd w:w="-108.0" w:type="dxa"/>
        <w:tblLayout w:type="fixed"/>
        <w:tblLook w:val="0000"/>
      </w:tblPr>
      <w:tblGrid>
        <w:gridCol w:w="6237"/>
        <w:gridCol w:w="1843"/>
        <w:gridCol w:w="2126"/>
        <w:tblGridChange w:id="0">
          <w:tblGrid>
            <w:gridCol w:w="6237"/>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hirer undertaking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Regulated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involving children or adults at risk – evidence of checks and registrations in place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organisations working with children or anyone having unsupervised contact with children – evidence of appropriate safeguarding policies, procedures and checks in place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person responsible for any safeguarding issues.</w:t>
            </w: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hereby apply to use the accommodation and facilities as stated.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am 21 years old or over and have read and agreed the terms and conditions.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Signature of hirer/agent………………………………………   Date…………………………………...</w:t>
      </w: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064.0" w:type="dxa"/>
        <w:jc w:val="left"/>
        <w:tblInd w:w="-108.0" w:type="dxa"/>
        <w:tblLayout w:type="fixed"/>
        <w:tblLook w:val="0000"/>
      </w:tblPr>
      <w:tblGrid>
        <w:gridCol w:w="3260"/>
        <w:gridCol w:w="3402"/>
        <w:gridCol w:w="3402"/>
        <w:tblGridChange w:id="0">
          <w:tblGrid>
            <w:gridCol w:w="3260"/>
            <w:gridCol w:w="3402"/>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 of deposit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deposit received: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deposit returned: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Hire fee amount: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fee paid:</w:t>
            </w:r>
            <w:r w:rsidDel="00000000" w:rsidR="00000000" w:rsidRPr="00000000">
              <w:rPr>
                <w:rtl w:val="0"/>
              </w:rPr>
            </w:r>
          </w:p>
        </w:tc>
        <w:tc>
          <w:tcPr>
            <w:vMerge w:val="restart"/>
            <w:tcBorders>
              <w:top w:color="000000" w:space="0" w:sz="4" w:val="single"/>
              <w:left w:color="000000" w:space="0" w:sz="4" w:val="single"/>
            </w:tcBorders>
            <w:shd w:fill="auto"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Booking entered on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Signature of Trustee:………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200" w:line="240" w:lineRule="auto"/>
        <w:ind w:left="0" w:right="0" w:firstLine="0"/>
        <w:jc w:val="center"/>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20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Terms and Conditions for the Hire of West Wratting Village Hall dated </w:t>
      </w:r>
      <w:r w:rsidDel="00000000" w:rsidR="00000000" w:rsidRPr="00000000">
        <w:rPr>
          <w:rFonts w:ascii="Arial" w:cs="Arial" w:eastAsia="Arial" w:hAnsi="Arial"/>
          <w:b w:val="1"/>
          <w:sz w:val="20"/>
          <w:szCs w:val="20"/>
          <w:rtl w:val="0"/>
        </w:rPr>
        <w:t xml:space="preserve">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Trustees retain the right to refuse any application for the hire of the hall.  No sub-letting is allowed.</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appropriate hiring fee must be paid in advance, or as otherwise agreed.    A deposit may be required with each booking, against cancellation, damage, or misuse.  The Trustees reserve the right to alter charges at any time.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Persons under 21 years of age cannot make bookings.  A responsible adult is required in the case of parties for children and young persons under the age of 18 years and must remain on the premises throughout the event.</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hirer is responsible for:</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proper and orderly use of the hall</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full cost of repair/replacement of anything damaged or lost.</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damage, breakage, loss or defect must be demonstrated to the Booking Officer as soon as possible.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hirer uses the hall at his or her own risk.  The hirer is to take out their own insurance to cover any personal injury or damage to their property if it would be deemed to be reasonable and prudent to do so.  The Trustees cannot be held responsible for any loss or damage to any property of the hirer.</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is to be affixed to the walls, ceiling or any other surface without prior approval of the bookings Officer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premises must be vacated by midnight with the exception of Christmas and New Year’s Eves when they must be vacated by 2am.</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music, amplified or not, must be kept at a reasonable level throughout the hire so as not to cause a disturbance.  A District Council sound control is installed.  The hirer is responsible for making random checks outside the premises to ensure a disturbance is not being caused.</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doors and windows must be kept closed during any noisy event, except for access and egress.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hirer must ensure that all vehicles are parked so that public footpaths are not obstructed and residents have access to and from their properties.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Internet access via Wi-Fi, TV Content</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free access to the Internet via Wi-Fi.  All users of this service must ensure that, when applicable, they hold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their own TV License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see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https://www.tvlicensing.co.uk/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more information. The Hall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does not have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TV License.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On leaving the hall</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Insurance notice by main door</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hirer is responsible for leaving the hall clean and tidy and for reporting any damage or problems as soon as possible.</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rubbish must be placed in the appropriate bins outside the back door.</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furniture must be replaced in its correct position on stage (or as otherwise agreed).   Chairs and tables must not be dragged across the hall floor.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hirer must ensure users leave in a quiet and orderly fashion so as not to cause disturbance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Fire Regulations and Evacuation Procedures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fire exits must remain free from obstruction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exit doors must remain unlocked during events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maximum number of people permitted in the hall is 100 or as agreed</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Electrical equipment brought into the hall approved by the Booking Officer must conform with current regulations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fire evacuate the hall, raise the alarm, call 999 and check everyone is accounted for at the bus stop</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Sale of alcohol</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Alcohol may only be sold in accordance with the Premises Licence or a valid Temporary Event Notice if the days and function times fall outside the scope of the Premises Licence.</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Temporary Event Notices must be agreed by the Trustees and the original notice must be presented to the booking Officer, as proof, at least five days prior to the event.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West Wratting Village Hall Committee will follow the principles set out in its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Adults at risk and child protection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copy of which can be seen online or supplied as hard copy.</w:t>
      </w:r>
      <w:r w:rsidDel="00000000" w:rsidR="00000000" w:rsidRPr="00000000">
        <w:rPr>
          <w:rtl w:val="0"/>
        </w:rPr>
      </w:r>
    </w:p>
    <w:p w:rsidR="00000000" w:rsidDel="00000000" w:rsidP="00000000" w:rsidRDefault="00000000" w:rsidRPr="00000000" w14:paraId="000000A8">
      <w:pPr>
        <w:numPr>
          <w:ilvl w:val="0"/>
          <w:numId w:val="4"/>
        </w:numPr>
        <w:spacing w:after="100" w:before="100" w:lineRule="auto"/>
        <w:ind w:left="360" w:hanging="360"/>
        <w:rPr>
          <w:vertAlign w:val="baseline"/>
        </w:rPr>
      </w:pPr>
      <w:r w:rsidDel="00000000" w:rsidR="00000000" w:rsidRPr="00000000">
        <w:rPr>
          <w:rFonts w:ascii="Arial" w:cs="Arial" w:eastAsia="Arial" w:hAnsi="Arial"/>
          <w:sz w:val="20"/>
          <w:szCs w:val="20"/>
          <w:vertAlign w:val="baseline"/>
          <w:rtl w:val="0"/>
        </w:rPr>
        <w:t xml:space="preserve">We will need to be satisfied that any organisation hiring out the hall for 'regulated activities’ has the necessary checks and registrations in place. 'Regulated actvities' are those activities which involve contact with children or vulnerable adults, on a frequent and/or overnight basis. These could be paid or voluntary activities and will include all childcare providers, youth groups etc.</w:t>
      </w:r>
      <w:r w:rsidDel="00000000" w:rsidR="00000000" w:rsidRPr="00000000">
        <w:rPr>
          <w:rtl w:val="0"/>
        </w:rPr>
      </w:r>
    </w:p>
    <w:p w:rsidR="00000000" w:rsidDel="00000000" w:rsidP="00000000" w:rsidRDefault="00000000" w:rsidRPr="00000000" w14:paraId="000000A9">
      <w:pPr>
        <w:numPr>
          <w:ilvl w:val="0"/>
          <w:numId w:val="4"/>
        </w:numPr>
        <w:spacing w:after="100" w:before="100" w:lineRule="auto"/>
        <w:ind w:left="360" w:hanging="360"/>
        <w:rPr>
          <w:vertAlign w:val="baseline"/>
        </w:rPr>
      </w:pPr>
      <w:r w:rsidDel="00000000" w:rsidR="00000000" w:rsidRPr="00000000">
        <w:rPr>
          <w:rFonts w:ascii="Arial" w:cs="Arial" w:eastAsia="Arial" w:hAnsi="Arial"/>
          <w:sz w:val="20"/>
          <w:szCs w:val="20"/>
          <w:vertAlign w:val="baseline"/>
          <w:rtl w:val="0"/>
        </w:rPr>
        <w:t xml:space="preserve">When hiring out the hall to organisations working with children, we will need to be satisfied that the hirer/day-care                           provider has the relevant policies and procedures and checks in place for keeping children safe. Anyone having unsupervised contact with children should have had the appropriate checks ie an enhanced CRB check and from November 2010, ISA registration status for all new employees.</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080" w:top="567" w:left="567" w:right="567" w:header="34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December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Book Antiqua" w:cs="Book Antiqua" w:eastAsia="Book Antiqua" w:hAnsi="Book Antiqua"/>
        <w:b w:val="1"/>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 Antiqua" w:cs="Book Antiqua" w:eastAsia="Book Antiqua" w:hAnsi="Book Antiqu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ind w:left="360" w:hanging="360"/>
    </w:pPr>
    <w:rPr>
      <w:rFonts w:ascii="Book Antiqua" w:cs="Book Antiqua" w:eastAsia="Book Antiqua" w:hAnsi="Book Antiqua"/>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ind w:left="0" w:firstLine="0"/>
    </w:pPr>
    <w:rPr>
      <w:rFonts w:ascii="Book Antiqua" w:cs="Book Antiqua" w:eastAsia="Book Antiqua" w:hAnsi="Book Antiqua"/>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b w:val="1"/>
      <w:w w:val="100"/>
      <w:position w:val="-1"/>
      <w:sz w:val="24"/>
      <w:szCs w:val="20"/>
      <w:effect w:val="none"/>
      <w:vertAlign w:val="baseline"/>
      <w:cs w:val="0"/>
      <w:em w:val="none"/>
      <w:lang w:bidi="ar-SA" w:eastAsia="zh-CN" w:val="en-GB"/>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hint="default"/>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effect w:val="none"/>
      <w:vertAlign w:val="baseline"/>
      <w:cs w:val="0"/>
      <w:em w:val="none"/>
      <w:lang/>
    </w:rPr>
  </w:style>
  <w:style w:type="character" w:styleId="HeaderChar">
    <w:name w:val="Header Char"/>
    <w:next w:val="HeaderChar"/>
    <w:autoRedefine w:val="0"/>
    <w:hidden w:val="0"/>
    <w:qFormat w:val="0"/>
    <w:rPr>
      <w:rFonts w:ascii="Book Antiqua Alt" w:cs="Book Antiqua Alt" w:hAnsi="Book Antiqua Alt"/>
      <w:w w:val="100"/>
      <w:position w:val="-1"/>
      <w:sz w:val="24"/>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baseline"/>
      <w:cs w:val="0"/>
      <w:em w:val="none"/>
      <w:lang/>
    </w:rPr>
  </w:style>
  <w:style w:type="character" w:styleId="FootnoteAnchor">
    <w:name w:val="Footnote Anchor"/>
    <w:next w:val="FootnoteAnchor"/>
    <w:autoRedefine w:val="0"/>
    <w:hidden w:val="0"/>
    <w:qFormat w:val="0"/>
    <w:rPr>
      <w:w w:val="100"/>
      <w:position w:val="-1"/>
      <w:effect w:val="none"/>
      <w:vertAlign w:val="superscript"/>
      <w:cs w:val="0"/>
      <w:em w:val="none"/>
      <w:lang/>
    </w:rPr>
  </w:style>
  <w:style w:type="paragraph" w:styleId="Heading">
    <w:name w:val="Heading"/>
    <w:basedOn w:val="Normal"/>
    <w:next w:val="TextBody"/>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en-GB"/>
    </w:rPr>
  </w:style>
  <w:style w:type="paragraph" w:styleId="TextBody">
    <w:name w:val="Text Body"/>
    <w:basedOn w:val="Normal"/>
    <w:next w:val="TextBody"/>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en-GB"/>
    </w:rPr>
  </w:style>
  <w:style w:type="paragraph" w:styleId="List">
    <w:name w:val="List"/>
    <w:basedOn w:val="TextBody"/>
    <w:next w:val="Lis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Book Antiqua Alt" w:cs="Arial" w:eastAsia="Times New Roman" w:hAnsi="Book Antiqua Alt"/>
      <w:w w:val="100"/>
      <w:position w:val="-1"/>
      <w:sz w:val="24"/>
      <w:szCs w:val="20"/>
      <w:effect w:val="none"/>
      <w:vertAlign w:val="baseline"/>
      <w:cs w:val="0"/>
      <w:em w:val="none"/>
      <w:lang w:bidi="ar-SA" w:eastAsia="zh-CN" w:val="en-GB"/>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Book Antiqua Alt" w:cs="Arial" w:eastAsia="Times New Roman" w:hAnsi="Book Antiqua Alt"/>
      <w:i w:val="1"/>
      <w:iCs w:val="1"/>
      <w:w w:val="100"/>
      <w:position w:val="-1"/>
      <w:sz w:val="24"/>
      <w:szCs w:val="24"/>
      <w:effect w:val="none"/>
      <w:vertAlign w:val="baseline"/>
      <w:cs w:val="0"/>
      <w:em w:val="none"/>
      <w:lang w:bidi="ar-SA" w:eastAsia="zh-CN" w:val="en-GB"/>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Book Antiqua Alt" w:cs="Arial" w:eastAsia="Times New Roman" w:hAnsi="Book Antiqua Alt"/>
      <w:w w:val="100"/>
      <w:position w:val="-1"/>
      <w:sz w:val="24"/>
      <w:szCs w:val="20"/>
      <w:effect w:val="none"/>
      <w:vertAlign w:val="baseline"/>
      <w:cs w:val="0"/>
      <w:em w:val="none"/>
      <w:lang w:bidi="und" w:eastAsia="und" w:val="und"/>
    </w:rPr>
  </w:style>
  <w:style w:type="paragraph" w:styleId="HeaderandFooter">
    <w:name w:val="Header and Footer"/>
    <w:basedOn w:val="Normal"/>
    <w:next w:val="HeaderandFooter"/>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en-GB"/>
    </w:rPr>
  </w:style>
  <w:style w:type="paragraph" w:styleId="Header">
    <w:name w:val="Header"/>
    <w:basedOn w:val="Normal"/>
    <w:next w:val="Header"/>
    <w:autoRedefine w:val="0"/>
    <w:hidden w:val="0"/>
    <w:qFormat w:val="0"/>
    <w:pPr>
      <w:widowControl w:val="1"/>
      <w:tabs>
        <w:tab w:val="center" w:leader="none" w:pos="4153"/>
        <w:tab w:val="right" w:leader="none" w:pos="8306"/>
      </w:tabs>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und"/>
    </w:rPr>
  </w:style>
  <w:style w:type="paragraph" w:styleId="Footer">
    <w:name w:val="Footer"/>
    <w:basedOn w:val="Normal"/>
    <w:next w:val="Footer"/>
    <w:autoRedefine w:val="0"/>
    <w:hidden w:val="0"/>
    <w:qFormat w:val="0"/>
    <w:pPr>
      <w:widowControl w:val="1"/>
      <w:tabs>
        <w:tab w:val="center" w:leader="none" w:pos="4153"/>
        <w:tab w:val="right" w:leader="none" w:pos="8306"/>
      </w:tabs>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en-GB"/>
    </w:rPr>
  </w:style>
  <w:style w:type="paragraph" w:styleId="CommentText">
    <w:name w:val="Comment Text"/>
    <w:basedOn w:val="Normal"/>
    <w:next w:val="CommentText"/>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0"/>
      <w:szCs w:val="20"/>
      <w:effect w:val="none"/>
      <w:vertAlign w:val="baseline"/>
      <w:cs w:val="0"/>
      <w:em w:val="none"/>
      <w:lang w:bidi="ar-SA" w:eastAsia="zh-CN" w:val="en-GB"/>
    </w:rPr>
  </w:style>
  <w:style w:type="paragraph" w:styleId="DocumentMap">
    <w:name w:val="Document Map"/>
    <w:basedOn w:val="Normal"/>
    <w:next w:val="DocumentMap"/>
    <w:autoRedefine w:val="0"/>
    <w:hidden w:val="0"/>
    <w:qFormat w:val="0"/>
    <w:pPr>
      <w:widowControl w:val="1"/>
      <w:shd w:color="auto" w:fill="000080" w:val="clear"/>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24"/>
      <w:szCs w:val="20"/>
      <w:effect w:val="none"/>
      <w:vertAlign w:val="baseline"/>
      <w:cs w:val="0"/>
      <w:em w:val="none"/>
      <w:lang w:bidi="ar-SA" w:eastAsia="zh-CN" w:val="en-GB"/>
    </w:rPr>
  </w:style>
  <w:style w:type="paragraph" w:styleId="BalloonText">
    <w:name w:val="Balloon Text"/>
    <w:basedOn w:val="Normal"/>
    <w:next w:val="BalloonText"/>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en-GB"/>
    </w:rPr>
  </w:style>
  <w:style w:type="paragraph" w:styleId="TableContents">
    <w:name w:val="Table Contents"/>
    <w:basedOn w:val="Normal"/>
    <w:next w:val="TableContents"/>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Book Antiqua Alt" w:cs="Book Antiqua Alt" w:eastAsia="Times New Roman" w:hAnsi="Book Antiqua Alt"/>
      <w:w w:val="100"/>
      <w:position w:val="-1"/>
      <w:sz w:val="24"/>
      <w:szCs w:val="20"/>
      <w:effect w:val="none"/>
      <w:vertAlign w:val="baseline"/>
      <w:cs w:val="0"/>
      <w:em w:val="none"/>
      <w:lang w:bidi="ar-SA" w:eastAsia="zh-CN" w:val="en-GB"/>
    </w:rPr>
  </w:style>
  <w:style w:type="paragraph" w:styleId="TableHeading">
    <w:name w:val="Table Heading"/>
    <w:basedOn w:val="TableContents"/>
    <w:next w:val="TableHeading"/>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Book Antiqua Alt" w:cs="Book Antiqua Alt" w:eastAsia="Times New Roman" w:hAnsi="Book Antiqua Alt"/>
      <w:b w:val="1"/>
      <w:bCs w:val="1"/>
      <w:w w:val="100"/>
      <w:position w:val="-1"/>
      <w:sz w:val="24"/>
      <w:szCs w:val="20"/>
      <w:effect w:val="none"/>
      <w:vertAlign w:val="baseline"/>
      <w:cs w:val="0"/>
      <w:em w:val="none"/>
      <w:lang w:bidi="ar-SA" w:eastAsia="zh-CN" w:val="en-GB"/>
    </w:rPr>
  </w:style>
  <w:style w:type="paragraph" w:styleId="Footnote">
    <w:name w:val="Footnote"/>
    <w:basedOn w:val="Normal"/>
    <w:next w:val="Footnote"/>
    <w:autoRedefine w:val="0"/>
    <w:hidden w:val="0"/>
    <w:qFormat w:val="0"/>
    <w:pPr>
      <w:widowControl w:val="1"/>
      <w:suppressLineNumbers w:val="1"/>
      <w:suppressAutoHyphens w:val="0"/>
      <w:bidi w:val="0"/>
      <w:spacing w:line="1" w:lineRule="atLeast"/>
      <w:ind w:left="340" w:right="0" w:leftChars="-1" w:rightChars="0" w:hanging="340" w:firstLineChars="-1"/>
      <w:textDirection w:val="btLr"/>
      <w:textAlignment w:val="top"/>
      <w:outlineLvl w:val="0"/>
    </w:pPr>
    <w:rPr>
      <w:rFonts w:ascii="Book Antiqua Alt" w:cs="Book Antiqua Alt" w:eastAsia="Times New Roman" w:hAnsi="Book Antiqua Alt"/>
      <w:w w:val="100"/>
      <w:position w:val="-1"/>
      <w:sz w:val="20"/>
      <w:szCs w:val="20"/>
      <w:effect w:val="none"/>
      <w:vertAlign w:val="baseline"/>
      <w:cs w:val="0"/>
      <w:em w:val="none"/>
      <w:lang w:bidi="ar-SA" w:eastAsia="zh-CN"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vlicensing.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fmu4CrGdmAZ4FzroHvz5F9hOyA==">CgMxLjA4AHIhMWtEVHdNRDRHX19XYVFOV2hVaERpOHI2Ym1FWWhDNXFo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2024-04-26T12:31:00Z</dcterms:created>
  <dc:creator>Gateway Licensed User</dc:creator>
</cp:coreProperties>
</file>